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29" w:rsidRDefault="002F5729" w:rsidP="002F5729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</w:p>
    <w:p w:rsidR="002F5729" w:rsidRDefault="002F5729" w:rsidP="002F5729">
      <w:pPr>
        <w:overflowPunct w:val="0"/>
        <w:spacing w:line="360" w:lineRule="auto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360" w:lineRule="auto"/>
        <w:jc w:val="center"/>
        <w:rPr>
          <w:rFonts w:asci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省直机关党支部书记讲微型党课</w:t>
      </w:r>
    </w:p>
    <w:p w:rsidR="002F5729" w:rsidRDefault="002F5729" w:rsidP="002F5729">
      <w:pPr>
        <w:overflowPunct w:val="0"/>
        <w:spacing w:line="360" w:lineRule="auto"/>
        <w:jc w:val="center"/>
        <w:rPr>
          <w:rFonts w:asci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竞赛活动方案</w:t>
      </w:r>
    </w:p>
    <w:p w:rsidR="002F5729" w:rsidRDefault="002F5729" w:rsidP="002F5729">
      <w:pPr>
        <w:overflowPunct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ind w:firstLineChars="150" w:firstLine="48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/>
          <w:bCs/>
          <w:sz w:val="32"/>
          <w:szCs w:val="32"/>
        </w:rPr>
        <w:t xml:space="preserve"> </w:t>
      </w:r>
      <w:r>
        <w:rPr>
          <w:rFonts w:ascii="黑体" w:eastAsia="黑体" w:hAnsi="黑体" w:cs="仿宋" w:hint="eastAsia"/>
          <w:bCs/>
          <w:sz w:val="32"/>
          <w:szCs w:val="32"/>
        </w:rPr>
        <w:t>一、竞赛内容</w:t>
      </w:r>
    </w:p>
    <w:p w:rsidR="002F5729" w:rsidRDefault="002F5729" w:rsidP="002F5729">
      <w:pPr>
        <w:overflowPunct w:val="0"/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围绕“两学一做”学习教育主题，以学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系列重要讲话精神、党章党史、《准则》《条例》等党规党纪，做“四讲四有”合格党员为主要内容，紧密联系实际，通过讲微型党课的形式，以小见大，深入浅出，教育引导和激励机关广大党员干部坚定理想信念，强化党性修养，立足岗位履职尽责，为实现“四个全面”战略布局湖北实施、加快“建成支点、走在前列”进程贡献力量。</w:t>
      </w:r>
    </w:p>
    <w:p w:rsidR="002F5729" w:rsidRDefault="002F5729" w:rsidP="002F5729">
      <w:pPr>
        <w:overflowPunct w:val="0"/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二、参赛对象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党的关系在省委省直机关工委的省直和中央在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汉单位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一级机关及直属单位的党支部书记参赛。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三、竞赛时间地点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日，武昌洪山礼堂（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号会议厅）。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四、竞赛方式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竞赛分初赛和决赛两个阶段进行。</w:t>
      </w:r>
    </w:p>
    <w:p w:rsidR="002F5729" w:rsidRDefault="002F5729" w:rsidP="002F5729">
      <w:pPr>
        <w:overflowPunct w:val="0"/>
        <w:spacing w:line="540" w:lineRule="exact"/>
        <w:ind w:left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（一）初赛阶段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、参赛报名。由各单位负责选拔一名优秀支部书记代表本单位参赛，于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日前将名单报至省直机关能力大比武活动组委会办公室（省直机关工会</w:t>
      </w:r>
      <w:r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室）。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、报送材料。报名时必须提供（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）讲课录像视频；（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文字材料（</w:t>
      </w:r>
      <w:r>
        <w:rPr>
          <w:rFonts w:ascii="仿宋" w:eastAsia="仿宋" w:hAnsi="仿宋" w:cs="仿宋"/>
          <w:sz w:val="32"/>
          <w:szCs w:val="32"/>
        </w:rPr>
        <w:t>2500</w:t>
      </w:r>
      <w:r>
        <w:rPr>
          <w:rFonts w:ascii="仿宋" w:eastAsia="仿宋" w:hAnsi="仿宋" w:cs="仿宋" w:hint="eastAsia"/>
          <w:sz w:val="32"/>
          <w:szCs w:val="32"/>
        </w:rPr>
        <w:t>字左右）；（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PPT</w:t>
      </w:r>
      <w:r>
        <w:rPr>
          <w:rFonts w:ascii="仿宋" w:eastAsia="仿宋" w:hAnsi="仿宋" w:cs="仿宋" w:hint="eastAsia"/>
          <w:sz w:val="32"/>
          <w:szCs w:val="32"/>
        </w:rPr>
        <w:t>课件，参赛材料应为原创，时长不超过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分钟。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、专家评审。组织专家组依照评审细则，对报送的材料进行综合评比，从中择优筛选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名微型党课选手，进入决赛阶段的现场比赛。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（二）决赛阶段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、进入决赛的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名选手经抽签排定出场顺序，分上午和下午两场进行，组织若干专家根据评分细则现场打分，按选手所得分数由高到低排定比赛名次。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、决赛选手需脱稿进行比赛，每名选手时间</w:t>
      </w:r>
      <w:r>
        <w:rPr>
          <w:rFonts w:ascii="仿宋" w:eastAsia="仿宋" w:hAnsi="仿宋" w:cs="仿宋"/>
          <w:sz w:val="32"/>
          <w:szCs w:val="32"/>
        </w:rPr>
        <w:t>8—10</w:t>
      </w:r>
      <w:r>
        <w:rPr>
          <w:rFonts w:ascii="仿宋" w:eastAsia="仿宋" w:hAnsi="仿宋" w:cs="仿宋" w:hint="eastAsia"/>
          <w:sz w:val="32"/>
          <w:szCs w:val="32"/>
        </w:rPr>
        <w:t>分钟，超时将酌情扣分。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五、奖励办法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根据参加决赛选手名次，评出一等奖3名、二等奖7名、三等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名。另设优秀奖若干名。</w:t>
      </w:r>
    </w:p>
    <w:p w:rsidR="002F5729" w:rsidRDefault="002F5729" w:rsidP="002F5729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lastRenderedPageBreak/>
        <w:t>省直机关党支部书记讲微型党课竞赛报名表</w:t>
      </w:r>
    </w:p>
    <w:p w:rsidR="002F5729" w:rsidRDefault="002F5729" w:rsidP="002F5729">
      <w:pPr>
        <w:overflowPunct w:val="0"/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单位名称：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（盖章）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600"/>
        <w:gridCol w:w="3258"/>
      </w:tblGrid>
      <w:tr w:rsidR="002F5729" w:rsidTr="00E12EF8">
        <w:trPr>
          <w:trHeight w:val="945"/>
        </w:trPr>
        <w:tc>
          <w:tcPr>
            <w:tcW w:w="2088" w:type="dxa"/>
            <w:vAlign w:val="center"/>
          </w:tcPr>
          <w:p w:rsidR="002F5729" w:rsidRDefault="002F5729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楷体" w:eastAsia="楷体" w:hAnsi="楷体" w:cs="楷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3600" w:type="dxa"/>
            <w:vAlign w:val="center"/>
          </w:tcPr>
          <w:p w:rsidR="002F5729" w:rsidRDefault="002F5729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职</w:t>
            </w:r>
            <w:r>
              <w:rPr>
                <w:rFonts w:ascii="楷体" w:eastAsia="楷体" w:hAnsi="楷体" w:cs="楷体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258" w:type="dxa"/>
            <w:vAlign w:val="center"/>
          </w:tcPr>
          <w:p w:rsidR="002F5729" w:rsidRDefault="002F5729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联系电话（手机）</w:t>
            </w:r>
          </w:p>
        </w:tc>
      </w:tr>
      <w:tr w:rsidR="002F5729" w:rsidTr="00E12EF8">
        <w:trPr>
          <w:trHeight w:val="1070"/>
        </w:trPr>
        <w:tc>
          <w:tcPr>
            <w:tcW w:w="2088" w:type="dxa"/>
            <w:vAlign w:val="center"/>
          </w:tcPr>
          <w:p w:rsidR="002F5729" w:rsidRDefault="002F5729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2F5729" w:rsidRDefault="002F5729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3258" w:type="dxa"/>
            <w:vAlign w:val="center"/>
          </w:tcPr>
          <w:p w:rsidR="002F5729" w:rsidRDefault="002F5729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</w:tr>
      <w:tr w:rsidR="002F5729" w:rsidTr="00E12EF8">
        <w:trPr>
          <w:trHeight w:val="1084"/>
        </w:trPr>
        <w:tc>
          <w:tcPr>
            <w:tcW w:w="8946" w:type="dxa"/>
            <w:gridSpan w:val="3"/>
          </w:tcPr>
          <w:p w:rsidR="002F5729" w:rsidRDefault="002F5729" w:rsidP="00E12EF8">
            <w:pPr>
              <w:overflowPunct w:val="0"/>
              <w:spacing w:line="540" w:lineRule="exac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党课题目：</w:t>
            </w:r>
          </w:p>
        </w:tc>
      </w:tr>
      <w:tr w:rsidR="002F5729" w:rsidTr="00E12EF8">
        <w:trPr>
          <w:trHeight w:val="1084"/>
        </w:trPr>
        <w:tc>
          <w:tcPr>
            <w:tcW w:w="8946" w:type="dxa"/>
            <w:gridSpan w:val="3"/>
          </w:tcPr>
          <w:p w:rsidR="002F5729" w:rsidRDefault="002F5729" w:rsidP="00E12EF8">
            <w:pPr>
              <w:overflowPunct w:val="0"/>
              <w:spacing w:line="540" w:lineRule="exac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党课时长：</w:t>
            </w:r>
          </w:p>
        </w:tc>
      </w:tr>
      <w:tr w:rsidR="002F5729" w:rsidTr="00E12EF8">
        <w:trPr>
          <w:trHeight w:val="1084"/>
        </w:trPr>
        <w:tc>
          <w:tcPr>
            <w:tcW w:w="8946" w:type="dxa"/>
            <w:gridSpan w:val="3"/>
          </w:tcPr>
          <w:p w:rsidR="002F5729" w:rsidRDefault="002F5729" w:rsidP="00E12EF8">
            <w:pPr>
              <w:overflowPunct w:val="0"/>
              <w:spacing w:line="540" w:lineRule="exac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所在支部：</w:t>
            </w:r>
          </w:p>
        </w:tc>
      </w:tr>
    </w:tbl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联系人：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电话：</w:t>
      </w: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F5729" w:rsidRDefault="002F5729" w:rsidP="002F5729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925C1C" w:rsidRDefault="00925C1C"/>
    <w:sectPr w:rsidR="00925C1C" w:rsidSect="0092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4F" w:rsidRDefault="00F2284F" w:rsidP="002F5729">
      <w:r>
        <w:separator/>
      </w:r>
    </w:p>
  </w:endnote>
  <w:endnote w:type="continuationSeparator" w:id="0">
    <w:p w:rsidR="00F2284F" w:rsidRDefault="00F2284F" w:rsidP="002F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4F" w:rsidRDefault="00F2284F" w:rsidP="002F5729">
      <w:r>
        <w:separator/>
      </w:r>
    </w:p>
  </w:footnote>
  <w:footnote w:type="continuationSeparator" w:id="0">
    <w:p w:rsidR="00F2284F" w:rsidRDefault="00F2284F" w:rsidP="002F5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729"/>
    <w:rsid w:val="002F5729"/>
    <w:rsid w:val="00925C1C"/>
    <w:rsid w:val="00F2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2016-10-11T05:26:00Z</dcterms:created>
  <dcterms:modified xsi:type="dcterms:W3CDTF">2016-10-11T05:26:00Z</dcterms:modified>
</cp:coreProperties>
</file>